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tLeast"/>
        <w:tabs>
          <w:tab w:val="left" w:pos="0" w:leader="none"/>
        </w:tabs>
        <w:rPr>
          <w:sz w:val="32"/>
          <w:szCs w:val="32"/>
        </w:rPr>
      </w:pPr>
      <w:r>
        <w:rPr>
          <w:sz w:val="20"/>
          <w:szCs w:val="20"/>
        </w:rPr>
        <w:t xml:space="preserve">                            </w:t>
      </w:r>
      <w:r>
        <w:rPr>
          <w:sz w:val="32"/>
          <w:szCs w:val="32"/>
        </w:rPr>
      </w:r>
      <w:r>
        <w:rPr>
          <w:sz w:val="32"/>
          <w:szCs w:val="32"/>
        </w:rPr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41"/>
        <w:gridCol w:w="539"/>
        <w:gridCol w:w="4567"/>
      </w:tblGrid>
      <w:tr>
        <w:tblPrEx/>
        <w:trPr/>
        <w:tc>
          <w:tcPr>
            <w:gridSpan w:val="2"/>
            <w:tcW w:w="4820" w:type="dxa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spacing w:line="228" w:lineRule="auto"/>
              <w:rPr>
                <w:rStyle w:val="867"/>
                <w:b w:val="0"/>
                <w:sz w:val="28"/>
                <w:szCs w:val="28"/>
              </w:rPr>
            </w:pPr>
            <w:r>
              <w:rPr>
                <w:rStyle w:val="867"/>
                <w:b w:val="0"/>
                <w:sz w:val="28"/>
                <w:szCs w:val="28"/>
              </w:rPr>
              <w:t xml:space="preserve">Приложение </w:t>
            </w:r>
            <w:r>
              <w:rPr>
                <w:rStyle w:val="867"/>
                <w:b w:val="0"/>
                <w:sz w:val="28"/>
                <w:szCs w:val="28"/>
              </w:rPr>
            </w:r>
            <w:r>
              <w:rPr>
                <w:rStyle w:val="867"/>
                <w:b w:val="0"/>
                <w:sz w:val="28"/>
                <w:szCs w:val="28"/>
              </w:rPr>
            </w:r>
          </w:p>
          <w:p>
            <w:pPr>
              <w:spacing w:line="228" w:lineRule="auto"/>
              <w:rPr>
                <w:rStyle w:val="867"/>
                <w:b w:val="0"/>
                <w:szCs w:val="28"/>
              </w:rPr>
            </w:pPr>
            <w:r>
              <w:rPr>
                <w:b w:val="0"/>
                <w:szCs w:val="28"/>
              </w:rPr>
            </w:r>
            <w:r>
              <w:rPr>
                <w:rStyle w:val="867"/>
                <w:b w:val="0"/>
                <w:szCs w:val="28"/>
              </w:rPr>
            </w:r>
            <w:r>
              <w:rPr>
                <w:rStyle w:val="867"/>
                <w:b w:val="0"/>
                <w:szCs w:val="28"/>
              </w:rPr>
            </w:r>
          </w:p>
          <w:p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28" w:lineRule="auto"/>
              <w:rPr>
                <w:rStyle w:val="867"/>
                <w:b w:val="0"/>
                <w:szCs w:val="28"/>
              </w:rPr>
            </w:pPr>
            <w:r>
              <w:rPr>
                <w:rStyle w:val="867"/>
                <w:b w:val="0"/>
                <w:szCs w:val="28"/>
              </w:rPr>
              <w:t xml:space="preserve">постановлением администрации</w:t>
            </w:r>
            <w:r>
              <w:rPr>
                <w:rStyle w:val="867"/>
                <w:b w:val="0"/>
                <w:szCs w:val="28"/>
              </w:rPr>
              <w:t xml:space="preserve"> муниципального образования</w:t>
            </w:r>
            <w:r>
              <w:rPr>
                <w:rStyle w:val="867"/>
                <w:b w:val="0"/>
                <w:szCs w:val="28"/>
              </w:rPr>
            </w:r>
            <w:r>
              <w:rPr>
                <w:rStyle w:val="867"/>
                <w:b w:val="0"/>
                <w:szCs w:val="28"/>
              </w:rPr>
            </w:r>
          </w:p>
          <w:p>
            <w:pPr>
              <w:spacing w:line="228" w:lineRule="auto"/>
              <w:rPr>
                <w:rStyle w:val="867"/>
                <w:b w:val="0"/>
                <w:szCs w:val="28"/>
              </w:rPr>
            </w:pPr>
            <w:r>
              <w:rPr>
                <w:rStyle w:val="867"/>
                <w:b w:val="0"/>
                <w:szCs w:val="28"/>
              </w:rPr>
              <w:t xml:space="preserve">Ленинградский муниципальный округ Краснодарского края</w:t>
            </w:r>
            <w:r>
              <w:rPr>
                <w:rStyle w:val="867"/>
                <w:b w:val="0"/>
                <w:szCs w:val="28"/>
              </w:rPr>
            </w:r>
            <w:r>
              <w:rPr>
                <w:rStyle w:val="867"/>
                <w:b w:val="0"/>
                <w:szCs w:val="28"/>
              </w:rPr>
            </w:r>
          </w:p>
          <w:p>
            <w:pPr>
              <w:spacing w:line="228" w:lineRule="auto"/>
              <w:rPr>
                <w:rStyle w:val="867"/>
                <w:b w:val="0"/>
                <w:szCs w:val="28"/>
              </w:rPr>
            </w:pPr>
            <w:r>
              <w:rPr>
                <w:rStyle w:val="867"/>
                <w:b w:val="0"/>
                <w:szCs w:val="28"/>
              </w:rPr>
              <w:t xml:space="preserve">от 17.12.2025  г. № 1929</w:t>
            </w:r>
            <w:r>
              <w:rPr>
                <w:rStyle w:val="867"/>
                <w:b w:val="0"/>
                <w:szCs w:val="28"/>
              </w:rPr>
            </w:r>
          </w:p>
          <w:p>
            <w:pPr>
              <w:spacing w:line="22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r/>
            <w:r/>
          </w:p>
        </w:tc>
      </w:tr>
      <w:tr>
        <w:tblPrEx/>
        <w:trPr/>
        <w:tc>
          <w:tcPr>
            <w:gridSpan w:val="3"/>
            <w:tcW w:w="9502" w:type="dxa"/>
            <w:textDirection w:val="lrTb"/>
            <w:noWrap w:val="false"/>
          </w:tcPr>
          <w:p>
            <w:pPr>
              <w:pStyle w:val="853"/>
              <w:spacing w:before="0" w:line="228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Муниципальная программа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Краснодарского края»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</w:pPr>
            <w:r>
              <w:rPr>
                <w:sz w:val="28"/>
                <w:szCs w:val="28"/>
              </w:rPr>
              <w:t xml:space="preserve">Паспорт</w:t>
            </w:r>
            <w:r>
              <w:rPr>
                <w:sz w:val="28"/>
                <w:szCs w:val="28"/>
              </w:rPr>
              <w:br/>
              <w:t xml:space="preserve">муниципальной программы «Развитие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Краснодарского края»</w:t>
            </w:r>
            <w:r/>
          </w:p>
        </w:tc>
      </w:tr>
      <w:tr>
        <w:tblPrEx/>
        <w:trPr/>
        <w:tc>
          <w:tcPr>
            <w:gridSpan w:val="3"/>
            <w:tcW w:w="9502" w:type="dxa"/>
            <w:textDirection w:val="lrTb"/>
            <w:noWrap w:val="false"/>
          </w:tcPr>
          <w:p>
            <w:pPr>
              <w:pStyle w:val="853"/>
              <w:spacing w:before="0"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9502" w:type="dxa"/>
            <w:textDirection w:val="lrTb"/>
            <w:noWrap w:val="false"/>
          </w:tcPr>
          <w:p>
            <w:pPr>
              <w:pStyle w:val="86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</w:t>
            </w:r>
            <w:r/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Ленинградский муниципальный округ Краснодарского края;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доступности транспорт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средств для жителей Ленинградского муниципального округа,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пассажирских перевозок;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потребностей населения в пассажирских перевозках транспортом общего пользования по муниципальным маршрутам регулярных перевозок;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безопасность, качество и эффективность транспортного обслуживания населения;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деятельности перевозчиков, осуществляющих перевозку пассажиров и багажа,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бесперебойности движения автобусов по утвержденным маршрутам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8"/>
            </w:pPr>
            <w:r/>
            <w:r/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мероприятий, направленных на сохранение количества муниципальных маршрутов, повыш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ение доступности и эффективности транспортного обслуживания жителей Ленинградского муниципального округа,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r/>
            <w:r/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r/>
            <w:r/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2026-2030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муниципальной программы, всего,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5249" w:type="dxa"/>
            <w:textDirection w:val="lrTb"/>
            <w:noWrap w:val="false"/>
          </w:tcPr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66,0 млн.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</w:t>
            </w:r>
            <w:r>
              <w:rPr>
                <w:sz w:val="28"/>
                <w:szCs w:val="28"/>
              </w:rPr>
              <w:t xml:space="preserve"> г. – 33</w:t>
            </w:r>
            <w:r>
              <w:rPr>
                <w:sz w:val="28"/>
                <w:szCs w:val="28"/>
              </w:rPr>
              <w:t xml:space="preserve">,0 млн. руб.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г. – </w:t>
            </w:r>
            <w:r>
              <w:rPr>
                <w:sz w:val="28"/>
                <w:szCs w:val="28"/>
              </w:rPr>
              <w:t xml:space="preserve">33,0 млн. руб.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г. –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г. –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из средств местного бюджета, всего: 66,0 млн.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г. – 33,0 млн. руб.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г. – </w:t>
            </w:r>
            <w:r>
              <w:rPr>
                <w:sz w:val="28"/>
                <w:szCs w:val="28"/>
              </w:rPr>
              <w:t xml:space="preserve">33,0 млн. руб.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г. –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г. –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r/>
            <w:r/>
          </w:p>
        </w:tc>
      </w:tr>
    </w:tbl>
    <w:p>
      <w:pPr>
        <w:ind w:right="-284"/>
        <w:jc w:val="center"/>
        <w:tabs>
          <w:tab w:val="left" w:pos="7655" w:leader="none"/>
        </w:tabs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right="-284"/>
        <w:jc w:val="center"/>
        <w:tabs>
          <w:tab w:val="left" w:pos="765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Содержание проблемы и обоснование необходимости ее решения программными методами</w:t>
      </w:r>
      <w:r>
        <w:rPr>
          <w:sz w:val="28"/>
          <w:szCs w:val="28"/>
          <w:highlight w:val="none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территории Ленинградского муниципального округа расположено 33 населенных пункта, центром Ленинградского мун</w:t>
      </w:r>
      <w:r>
        <w:rPr>
          <w:sz w:val="28"/>
          <w:szCs w:val="28"/>
        </w:rPr>
        <w:t xml:space="preserve">иципального округа является станица Ленинградская. Станица Ленинградская является опорным населенным пунктом, который в отношении населенных пунктов размещен центрально. Расстояние до центра Ленинградского муниципального округа составляет от 13 до 59,7 км.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Формирование стратегических направлений развития транспорта необходимо осуществлять на базе всестороннего анализа современного состояния и проблем развития транспортной системы, в тесной взаимосвязи с общими направлениями социально-экономического развития </w:t>
      </w:r>
      <w:r>
        <w:rPr>
          <w:sz w:val="28"/>
          <w:szCs w:val="28"/>
        </w:rPr>
        <w:t xml:space="preserve">Ленинградского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Транспортная инфраструктура объединяет все </w:t>
      </w:r>
      <w:r>
        <w:rPr>
          <w:sz w:val="28"/>
          <w:szCs w:val="28"/>
        </w:rPr>
        <w:t xml:space="preserve">населенные пункты муниципального округа</w:t>
      </w:r>
      <w:r>
        <w:rPr>
          <w:sz w:val="28"/>
          <w:szCs w:val="28"/>
        </w:rPr>
        <w:t xml:space="preserve">, что является необходимым условием территориальной целостности, единства экономического пространства.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Транспортная система обеспечивает условия экономического роста, повышение конкурентоспособности экономики и качества жизни населения. Транспортно-экономические связи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 осуществляются только автомобильным видом транспорта. Муниципальные транспортные предприятия на территории </w:t>
      </w:r>
      <w:r>
        <w:rPr>
          <w:sz w:val="28"/>
          <w:szCs w:val="28"/>
        </w:rPr>
        <w:t xml:space="preserve">Ленинградского муниципального округа </w:t>
      </w:r>
      <w:r>
        <w:rPr>
          <w:sz w:val="28"/>
          <w:szCs w:val="28"/>
        </w:rPr>
        <w:t xml:space="preserve">отсутствуют. Основным видом пассажирского транспорта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 является автобусное сообщение. Большинство трудовых передвижений в </w:t>
      </w:r>
      <w:r>
        <w:rPr>
          <w:sz w:val="28"/>
          <w:szCs w:val="28"/>
        </w:rPr>
        <w:t xml:space="preserve">Ленинградском муниципальном округе</w:t>
      </w:r>
      <w:r>
        <w:rPr>
          <w:sz w:val="28"/>
          <w:szCs w:val="28"/>
        </w:rPr>
        <w:t xml:space="preserve"> приходится на </w:t>
      </w:r>
      <w:r>
        <w:rPr>
          <w:sz w:val="28"/>
          <w:szCs w:val="28"/>
        </w:rPr>
        <w:t xml:space="preserve">общественный и </w:t>
      </w:r>
      <w:r>
        <w:rPr>
          <w:sz w:val="28"/>
          <w:szCs w:val="28"/>
        </w:rPr>
        <w:t xml:space="preserve">личный </w:t>
      </w:r>
      <w:r>
        <w:rPr>
          <w:sz w:val="28"/>
          <w:szCs w:val="28"/>
        </w:rPr>
        <w:t xml:space="preserve">транспорт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Пассажирские перевозки на территории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 осуществляется только автомобильным транспортом общего пользования. Перевозчиками пассажиров являются </w:t>
      </w:r>
      <w:r>
        <w:rPr>
          <w:sz w:val="28"/>
          <w:szCs w:val="28"/>
        </w:rPr>
        <w:t xml:space="preserve">микропредприятия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индивидуальные предприниматели. К недостаткам организации пассажирских перевозок можно отнести отсутствие </w:t>
      </w:r>
      <w:r>
        <w:rPr>
          <w:sz w:val="28"/>
          <w:szCs w:val="28"/>
        </w:rPr>
        <w:t xml:space="preserve">конкуренции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предоставляющих услуги по перевозке населения</w:t>
      </w:r>
      <w:r>
        <w:rPr>
          <w:sz w:val="28"/>
          <w:szCs w:val="28"/>
        </w:rPr>
        <w:t xml:space="preserve"> предприятий и организаций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уровня обслуживания населения, создания условий для развития конкуренции необходимо плановое развитие и совершенствование маршрутной сети.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сфере общественного автомобильного транспорта важна необходимость решения отдельных вопросов по повышению безопасности перевозок пассажиров.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состояния аварийности, причин и обстоятельств ДТП, показывает, что дорожно-транспортные происшествия с</w:t>
      </w:r>
      <w:r>
        <w:rPr>
          <w:sz w:val="28"/>
          <w:szCs w:val="28"/>
        </w:rPr>
        <w:t xml:space="preserve">тановятся следствием нарушений скоростного режима, правил обгона, остановки, проезда перекрестков и т.д., и эта тенденция нарастает особенно по владельцам частного транспорта. Маршрутная сеть не охватывает должным образом часть малых и отдаленных поселков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 регулярными перевозками по причине экономической неэффективности их организации.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характеризуется развитой сетью транспортных коммуникаций. Транспортное обеспечение осуществляется по </w:t>
      </w:r>
      <w:r>
        <w:rPr>
          <w:sz w:val="28"/>
          <w:szCs w:val="28"/>
        </w:rPr>
        <w:t xml:space="preserve">семи пригородным и восьми городским муниципальным маршрутам регулярного сообщения с обеспечением равной доступности транспортных услуг отдельным категориям граждан.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Транспортная политика направлена на реализацию мероприятий, направленных на создание единой транспортной системы Ленинградского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условиях реформирования экономи</w:t>
      </w:r>
      <w:r>
        <w:rPr>
          <w:sz w:val="28"/>
          <w:szCs w:val="28"/>
        </w:rPr>
        <w:t xml:space="preserve">ки усиливается взаимосвязь комплексного развития транспорта с другими отраслями хозяйства и социальной сферы, которая определяет требования к транспорту в отношении направлений, объемов и качества перевозок, изыскании возможных путей расширения и развития.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Развитие и модернизация транспорта являются факторами, стимулирующими социально-экономическое развитие Ленинградского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Настоящей муниципальной программой </w:t>
      </w:r>
      <w:r>
        <w:rPr>
          <w:sz w:val="28"/>
          <w:szCs w:val="28"/>
        </w:rPr>
        <w:t xml:space="preserve">«Развитие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Краснодарского края»</w:t>
      </w:r>
      <w:r>
        <w:rPr>
          <w:sz w:val="28"/>
          <w:szCs w:val="28"/>
        </w:rPr>
        <w:t xml:space="preserve"> (далее - Программа) определяются цели, принципы, задачи, приоритеты и основные направления транспортной политики Ленинградского муниципального округа на период 2026 - 2030 годов.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рамках своих полномочий администрация Ленинградского муниципального округа выполняет функции муниципального заказчика на осуществление пассажирских перевозок автомобильным транспортом общего пользования по муниципальным маршрутам.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Ежегодно ведется реестр муниципальных маршрутов, связанных с осуществлением на территории муниципального округа перевозок пассажиров автомобильным транспортом.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Автомобильный транспорт, используемый в регулярных пассажирских перевозках оснащен системой ГЛОНАСС, и подключен к мониторинговой системе общественного транспорта Краснодарского края.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удобства пассажиров автомобильный транспорт оснащен мобильными устройствами для безналичной оплаты проезда.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 2024 год перевезено 92,2 тысячи пассажиров на городских и пригородных маршрутах. Из средств бюджета Ленинградского муниципального округа на </w:t>
      </w:r>
      <w:r>
        <w:rPr>
          <w:sz w:val="28"/>
          <w:szCs w:val="28"/>
        </w:rPr>
        <w:t xml:space="preserve">оказание услуг, связанных с осуществлением регулярных перевозок пассажиров и багажа автомобильным транспортом по регулируемым тарифам по муниципальным </w:t>
      </w:r>
      <w:r>
        <w:rPr>
          <w:sz w:val="28"/>
          <w:szCs w:val="28"/>
        </w:rPr>
        <w:t xml:space="preserve">пригородным </w:t>
      </w:r>
      <w:r>
        <w:rPr>
          <w:sz w:val="28"/>
          <w:szCs w:val="28"/>
        </w:rPr>
        <w:t xml:space="preserve">маршрутам на территории </w:t>
      </w:r>
      <w:r>
        <w:rPr>
          <w:sz w:val="28"/>
          <w:szCs w:val="28"/>
        </w:rPr>
        <w:t xml:space="preserve">Ленинградского муниципального округа в 2025 году направлено 19 997 476,25 рублей, финансирование на 2026 год планируется в размере 33000000,0 руб.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</w:pPr>
      <w:r/>
      <w:r/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Основные цели и задачи муниципальной программы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повышение доступности транспортных средств для жителей Ленинградского муниципального округа, формирование </w:t>
      </w:r>
      <w:r>
        <w:rPr>
          <w:sz w:val="28"/>
          <w:szCs w:val="28"/>
        </w:rPr>
        <w:t xml:space="preserve">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достижения указанной цели в рамках Программы необходимо решить следующие основные задачи: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right="-14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удовлетворение потребностей населения в пассажирских перевозках транспортом общего пользования по муниципальным маршрутам регулярных перевозок;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right="-143" w:firstLine="709"/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безопасность, качество и эффективность транспортного обслуживания населения;</w:t>
      </w:r>
      <w:r/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создание условий для деятельности перевозчиков, осуществляющих перевозку на территории Ленинградского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right="-143"/>
        <w:jc w:val="both"/>
        <w:spacing w:before="10" w:beforeAutospacing="0" w:after="0" w:afterAutospacing="0"/>
      </w:pPr>
      <w:r>
        <w:rPr>
          <w:color w:val="000000"/>
          <w:sz w:val="28"/>
          <w:szCs w:val="28"/>
        </w:rPr>
        <w:t xml:space="preserve">          Реализация мероприятий Программы рассчитана на</w:t>
      </w:r>
      <w:r>
        <w:rPr>
          <w:color w:val="0f0f0f"/>
          <w:sz w:val="28"/>
          <w:szCs w:val="28"/>
        </w:rPr>
        <w:t xml:space="preserve"> </w:t>
      </w:r>
      <w:r>
        <w:rPr>
          <w:color w:val="0f0f0f"/>
          <w:sz w:val="28"/>
          <w:szCs w:val="28"/>
        </w:rPr>
        <w:t xml:space="preserve">период с </w:t>
      </w:r>
      <w:r>
        <w:rPr>
          <w:color w:val="000000"/>
          <w:sz w:val="28"/>
          <w:szCs w:val="28"/>
        </w:rPr>
        <w:t xml:space="preserve">2026 и последующие годы.</w:t>
      </w:r>
      <w:r/>
    </w:p>
    <w:p>
      <w:pPr>
        <w:pStyle w:val="859"/>
        <w:ind w:right="-143" w:firstLine="709"/>
        <w:jc w:val="both"/>
        <w:spacing w:before="11" w:beforeAutospacing="0" w:after="0" w:afterAutospacing="0"/>
        <w:tabs>
          <w:tab w:val="left" w:pos="426" w:leader="none"/>
          <w:tab w:val="left" w:pos="7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Целевые показатели Программы приведены в приложении 3.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9"/>
        <w:ind w:left="311" w:right="-143"/>
        <w:jc w:val="both"/>
        <w:spacing w:before="11" w:beforeAutospacing="0" w:after="0" w:afterAutospacing="0"/>
      </w:pPr>
      <w:r/>
      <w:r/>
    </w:p>
    <w:p>
      <w:pPr>
        <w:pStyle w:val="859"/>
        <w:ind w:right="-143"/>
        <w:jc w:val="center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color w:val="000000"/>
          <w:sz w:val="28"/>
          <w:szCs w:val="28"/>
        </w:rPr>
        <w:t xml:space="preserve">Система программных мероприятий, в том числе ресурсное обеспечение Программы, с перечнем мероприятий </w:t>
      </w:r>
      <w:r>
        <w:rPr>
          <w:bCs/>
          <w:color w:val="0f0f0f"/>
          <w:sz w:val="28"/>
          <w:szCs w:val="28"/>
        </w:rPr>
        <w:t xml:space="preserve">с </w:t>
      </w:r>
      <w:r>
        <w:rPr>
          <w:bCs/>
          <w:color w:val="000000"/>
          <w:sz w:val="28"/>
          <w:szCs w:val="28"/>
        </w:rPr>
        <w:t xml:space="preserve">разбивкой по годам, источникам и направлением финансирования</w:t>
      </w:r>
      <w:r>
        <w:rPr>
          <w:bCs/>
          <w:color w:val="000000"/>
          <w:sz w:val="28"/>
          <w:szCs w:val="28"/>
        </w:rPr>
        <w:t xml:space="preserve">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</w:rPr>
      </w:pPr>
      <w:r>
        <w:rPr>
          <w:bCs/>
          <w:color w:val="000000"/>
        </w:rPr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Мероприятия программы будут осуществляться по следующим направлениям: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Организационно-управленческие мероприятия по муниципальной поддержке развития общественного транспорта в Ленинградском муниципальном округе (не требует дополнительных финансовых вложений):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изучение потребностей населения в транспортных услугах, развитие общественного пассажирского транспорта;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решение вопросов по сохранению и дальнейшему развитию социально-значимых регулярных пассажирских автобусных маршрутов;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внесение данных, изменение информации в системе мониторинга общественного транспорта Краснодарского края по Ленинградскому муниципальному округу;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мониторинг движения автобусов в системе мониторинга общественного транспорта Краснодарского края.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71"/>
        <w:ind w:right="-143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Реализация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мероприятий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муниципальной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программы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осуществляется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за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счет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средств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местного</w:t>
      </w:r>
      <w:r>
        <w:rPr>
          <w:bCs/>
          <w:color w:val="000000"/>
          <w:sz w:val="28"/>
          <w:szCs w:val="28"/>
        </w:rPr>
        <w:t xml:space="preserve"> бюджета Ленинградского муниципального округа.</w:t>
      </w:r>
      <w:r>
        <w:rPr>
          <w:rFonts w:cs="Times New Roman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Финансовое обеспечение муниципальной программы осуществляется за счет средств местного бюджета Ленинградского муниципального округа в пределах, утвержденных решением Совета депутатов Ленинградского муниципального округа на очередной финансовый год.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71"/>
        <w:ind w:right="-143" w:firstLine="709"/>
        <w:jc w:val="both"/>
        <w:rPr>
          <w:bCs/>
          <w:color w:val="000000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 xml:space="preserve">Объемы финансирования программы могут корректироваться в течении всего периода реализации мероприятий </w:t>
      </w:r>
      <w:r>
        <w:rPr>
          <w:rFonts w:cs="Times New Roman"/>
          <w:sz w:val="28"/>
          <w:szCs w:val="28"/>
          <w:lang w:val="ru-RU"/>
        </w:rPr>
        <w:t xml:space="preserve">п</w:t>
      </w:r>
      <w:r>
        <w:rPr>
          <w:rFonts w:cs="Times New Roman"/>
          <w:sz w:val="28"/>
          <w:szCs w:val="28"/>
          <w:lang w:val="ru-RU"/>
        </w:rPr>
        <w:t xml:space="preserve">рограммы, исходя из возможностей бюджета и степени реализации мероприятий.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Мероприятия по финансовой поддержке организаций (предпринимателей), осуществляющих пассажирские перевозки по муниципальным автобусным маршрутам Ленинградского муниципального округа: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рассмотрение возможности открытия новых автобусных маршрутов в целях повышения уровня доступности населения к транспортным услугам;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плата за выполнение услуг, связанных с осуществление</w:t>
      </w:r>
      <w:r>
        <w:rPr>
          <w:bCs/>
          <w:color w:val="000000"/>
          <w:sz w:val="28"/>
          <w:szCs w:val="28"/>
        </w:rPr>
        <w:t xml:space="preserve">м регулярных пассажирских перевозок по регулируемым тарифам по муниципальным пригородным маршрутам регулярного сообщения с обеспечением равной доступности транспортных услуг для жителей населенных пунктов на территории Ленинградского муниципального округа;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  <w:rPr>
          <w:color w:val="000000"/>
          <w:sz w:val="30"/>
          <w:szCs w:val="30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- обеспечение организаций (предпринимателей), осуществляющих пассажирские перевозки картами маршрутов регулярных перевозок,</w:t>
      </w:r>
      <w:r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 xml:space="preserve">свидетельствами на право осуществления перевозок по муниципальному маршруту регулярных перевозок</w:t>
      </w:r>
      <w:r>
        <w:rPr>
          <w:color w:val="000000"/>
          <w:sz w:val="30"/>
          <w:szCs w:val="30"/>
          <w:shd w:val="clear" w:color="auto" w:fill="ffffff"/>
        </w:rPr>
        <w:t xml:space="preserve">.</w:t>
      </w:r>
      <w:r>
        <w:rPr>
          <w:color w:val="000000"/>
          <w:sz w:val="30"/>
          <w:szCs w:val="30"/>
          <w:shd w:val="clear" w:color="auto" w:fill="ffffff"/>
        </w:rPr>
      </w:r>
      <w:r>
        <w:rPr>
          <w:color w:val="000000"/>
          <w:sz w:val="30"/>
          <w:szCs w:val="30"/>
          <w:shd w:val="clear" w:color="auto" w:fill="ffffff"/>
        </w:rPr>
      </w:r>
    </w:p>
    <w:p>
      <w:pPr>
        <w:pStyle w:val="872"/>
        <w:ind w:right="-143" w:firstLine="709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мероприятия, предусматриваемые в рамках муниципальной программы, приведены в приложении 1 к муниципальной программе.</w:t>
      </w:r>
      <w:r>
        <w:rPr>
          <w:color w:val="000000"/>
          <w:sz w:val="30"/>
          <w:szCs w:val="30"/>
          <w:shd w:val="clear" w:color="auto" w:fill="ffffff"/>
        </w:rPr>
      </w:r>
      <w:r>
        <w:rPr>
          <w:color w:val="000000"/>
          <w:sz w:val="30"/>
          <w:szCs w:val="30"/>
          <w:shd w:val="clear" w:color="auto" w:fill="ffffff"/>
        </w:rPr>
      </w:r>
    </w:p>
    <w:p>
      <w:pPr>
        <w:pStyle w:val="859"/>
        <w:ind w:right="-143" w:firstLine="709"/>
        <w:jc w:val="both"/>
        <w:spacing w:before="0" w:beforeAutospacing="0" w:after="0" w:afterAutospacing="0" w:line="247" w:lineRule="auto"/>
        <w:tabs>
          <w:tab w:val="left" w:pos="1808" w:leader="none"/>
        </w:tabs>
      </w:pPr>
      <w:r/>
      <w:r/>
    </w:p>
    <w:p>
      <w:pPr>
        <w:pStyle w:val="872"/>
        <w:ind w:right="-143"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4. Обоснование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Расчет обоснования финансирования </w:t>
      </w:r>
      <w:r>
        <w:rPr>
          <w:sz w:val="28"/>
          <w:szCs w:val="28"/>
        </w:rPr>
        <w:t xml:space="preserve">оказан</w:t>
      </w:r>
      <w:r>
        <w:rPr>
          <w:sz w:val="28"/>
          <w:szCs w:val="28"/>
        </w:rPr>
        <w:t xml:space="preserve">ных</w:t>
      </w:r>
      <w:r>
        <w:rPr>
          <w:sz w:val="28"/>
          <w:szCs w:val="28"/>
        </w:rPr>
        <w:t xml:space="preserve"> услуг, связанных с осуществлением регулярных перевозок пассажиров и багажа автомобильным транспортом по регулируемым тарифам по муниципальным маршрутам на территории </w:t>
      </w:r>
      <w:r>
        <w:rPr>
          <w:sz w:val="28"/>
          <w:szCs w:val="28"/>
        </w:rPr>
        <w:t xml:space="preserve">Ленинградского муниципального округа производится на основании приказа Министерства транспорта Российской Федерации от 20 октября 2021 г. № 351 «Об утверждении Порядка определения начальной (максимальной) цены контракта, а также цены контракта, заключа</w:t>
      </w:r>
      <w:r>
        <w:rPr>
          <w:sz w:val="28"/>
          <w:szCs w:val="28"/>
        </w:rPr>
        <w:t xml:space="preserve">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с изменениями и дополнениями» (приложение 2).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</w:pPr>
      <w:r/>
      <w:r/>
    </w:p>
    <w:p>
      <w:pPr>
        <w:pStyle w:val="872"/>
        <w:ind w:right="-143"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5. Методика оценки эффективности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-143" w:firstLine="709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Методика оценки эффективности реализации муниципальной программы, осуществляется</w:t>
      </w:r>
      <w:r>
        <w:rPr>
          <w:sz w:val="28"/>
          <w:szCs w:val="28"/>
        </w:rPr>
        <w:t xml:space="preserve"> в соответствии с постановлением администрации муниципального образования  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8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8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оценки эффективности реализации программы разработана система целевых показателей, отображающих конечный эффект реализации муниципальной программы в соответствии с методикой.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7655" w:leader="none"/>
        </w:tabs>
      </w:pPr>
      <w:r/>
      <w:r/>
    </w:p>
    <w:p>
      <w:pPr>
        <w:ind w:right="-143"/>
        <w:jc w:val="center"/>
        <w:tabs>
          <w:tab w:val="left" w:pos="8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6. Механизм реализации муниципальной программы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43" w:firstLine="709"/>
        <w:jc w:val="both"/>
        <w:tabs>
          <w:tab w:val="left" w:pos="840" w:leader="none"/>
        </w:tabs>
      </w:pPr>
      <w:r/>
      <w:r/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Реализация муниципальной программы осуществляется в соответствии с перечнем основных мероприятий участниками муниципальной программы.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муниципального образования, в том числе с учетом результатов оценки эффективности реализации программы.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Решение об изменении программных мероприятий и их ресурсного обеспечения в ходе реализации программы может </w:t>
      </w:r>
      <w:r>
        <w:rPr>
          <w:rFonts w:eastAsia="Andale Sans UI"/>
          <w:sz w:val="28"/>
          <w:szCs w:val="28"/>
          <w:lang w:eastAsia="ja-JP" w:bidi="fa-IR"/>
        </w:rPr>
        <w:t xml:space="preserve">быть принято в связи с сокращением финансирования, по результатам оценки эффективности проводимых мероприятий на основе анализа основных показателей (индикаторов) программы, а также в случае изменения нормативной правовой базы в сфере реализации Программы.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spacing w:val="10"/>
          <w:sz w:val="28"/>
          <w:szCs w:val="28"/>
        </w:rPr>
        <w:t xml:space="preserve">В </w:t>
      </w:r>
      <w:r>
        <w:rPr>
          <w:rFonts w:eastAsia="Andale Sans UI"/>
          <w:sz w:val="28"/>
          <w:szCs w:val="28"/>
          <w:lang w:eastAsia="ja-JP" w:bidi="fa-IR"/>
        </w:rPr>
        <w:t xml:space="preserve">рамках ис</w:t>
      </w:r>
      <w:r>
        <w:rPr>
          <w:rFonts w:eastAsia="Andale Sans UI"/>
          <w:sz w:val="28"/>
          <w:szCs w:val="28"/>
          <w:lang w:eastAsia="ja-JP" w:bidi="fa-IR"/>
        </w:rPr>
        <w:t xml:space="preserve">полнения мероприятий, заказчик организует закупку товаров, работ и услуг в соответствии с Федеральным законом от 5 апреля 2013г. № 44 - ФЗ «О контрактной системе в сфере закупок товаров, работ, услуг для обеспечения государственных и муниципальных услуг». 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Ответственным исполнителем программы является </w:t>
      </w:r>
      <w:r>
        <w:rPr>
          <w:spacing w:val="10"/>
          <w:sz w:val="28"/>
          <w:szCs w:val="28"/>
        </w:rPr>
        <w:t xml:space="preserve">управление строительства, содержания и развития улично-дорожной сети</w:t>
      </w:r>
      <w:r>
        <w:rPr>
          <w:rFonts w:eastAsia="Andale Sans UI"/>
          <w:sz w:val="28"/>
          <w:szCs w:val="28"/>
          <w:lang w:eastAsia="ja-JP" w:bidi="fa-IR"/>
        </w:rPr>
        <w:t xml:space="preserve"> администрации Ленинградского муниципального округа. 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С целью управления и контроля за реализацией программы </w:t>
      </w:r>
      <w:r>
        <w:rPr>
          <w:spacing w:val="10"/>
          <w:sz w:val="28"/>
          <w:szCs w:val="28"/>
        </w:rPr>
        <w:t xml:space="preserve">управление строительства, содержания и развития улично-дорожной сети</w:t>
      </w:r>
      <w:r>
        <w:rPr>
          <w:rFonts w:eastAsia="Andale Sans UI"/>
          <w:sz w:val="28"/>
          <w:szCs w:val="28"/>
          <w:lang w:eastAsia="ja-JP" w:bidi="fa-IR"/>
        </w:rPr>
        <w:t xml:space="preserve"> администрации Ленинградского муниципального округа: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а) осуществляет сбор информации о выполнении мероприятий Программы, их анализ, обобщение, подготовку и ежегодное представление отчёта о выполнении программы;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б) </w:t>
      </w:r>
      <w:r>
        <w:rPr>
          <w:rFonts w:eastAsia="Andale Sans UI"/>
          <w:sz w:val="28"/>
          <w:szCs w:val="28"/>
          <w:lang w:eastAsia="ja-JP" w:bidi="fa-IR"/>
        </w:rPr>
        <w:t xml:space="preserve">ежемесячно </w:t>
      </w:r>
      <w:r>
        <w:rPr>
          <w:rFonts w:eastAsia="Andale Sans UI"/>
          <w:sz w:val="28"/>
          <w:szCs w:val="28"/>
          <w:lang w:eastAsia="ja-JP" w:bidi="fa-IR"/>
        </w:rPr>
        <w:t xml:space="preserve">проводит </w:t>
      </w:r>
      <w:r>
        <w:rPr>
          <w:rFonts w:eastAsia="Andale Sans UI"/>
          <w:sz w:val="28"/>
          <w:szCs w:val="28"/>
          <w:lang w:eastAsia="ja-JP" w:bidi="fa-IR"/>
        </w:rPr>
        <w:t xml:space="preserve">экспертизу выполненных услуг, предоставляет расчет платы и после подписания акта выполненных работ за указанный период осуществляет контроль оплаты</w:t>
      </w:r>
      <w:r>
        <w:rPr>
          <w:rFonts w:eastAsia="Andale Sans UI"/>
          <w:sz w:val="28"/>
          <w:szCs w:val="28"/>
          <w:lang w:eastAsia="ja-JP" w:bidi="fa-IR"/>
        </w:rPr>
        <w:t xml:space="preserve">;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в) вносит предложения о корректировке программы;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  <w:t xml:space="preserve">г) несёт ответственность за достижение показателей (индикаторов) Программы, а также конечных результатов её реализации.</w:t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143" w:firstLine="709"/>
        <w:jc w:val="both"/>
        <w:spacing w:line="240" w:lineRule="atLeast"/>
        <w:shd w:val="clear" w:color="auto" w:fill="ffffff"/>
        <w:rPr>
          <w:rFonts w:eastAsia="Andale Sans UI"/>
          <w:sz w:val="28"/>
          <w:szCs w:val="28"/>
          <w:lang w:eastAsia="ja-JP" w:bidi="fa-IR"/>
        </w:rPr>
      </w:pP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  <w:r>
        <w:rPr>
          <w:rFonts w:eastAsia="Andale Sans UI"/>
          <w:sz w:val="28"/>
          <w:szCs w:val="28"/>
          <w:lang w:eastAsia="ja-JP" w:bidi="fa-IR"/>
        </w:rPr>
      </w:r>
    </w:p>
    <w:p>
      <w:pPr>
        <w:ind w:right="-284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284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284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284"/>
        <w:jc w:val="both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В.В. Мальченко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ndale Sans UI">
    <w:panose1 w:val="02000603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44537605"/>
      <w:docPartObj>
        <w:docPartGallery w:val="Page Numbers (Top of Page)"/>
        <w:docPartUnique w:val="true"/>
      </w:docPartObj>
      <w:rPr/>
    </w:sdtPr>
    <w:sdtContent>
      <w:p>
        <w:pPr>
          <w:pStyle w:val="86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855"/>
    <w:link w:val="853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52"/>
    <w:next w:val="852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5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52"/>
    <w:next w:val="852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5"/>
    <w:link w:val="681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855"/>
    <w:link w:val="854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5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5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5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5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5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2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2"/>
    <w:next w:val="852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5"/>
    <w:link w:val="696"/>
    <w:uiPriority w:val="10"/>
    <w:rPr>
      <w:sz w:val="48"/>
      <w:szCs w:val="48"/>
    </w:rPr>
  </w:style>
  <w:style w:type="paragraph" w:styleId="698">
    <w:name w:val="Subtitle"/>
    <w:basedOn w:val="852"/>
    <w:next w:val="852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5"/>
    <w:link w:val="698"/>
    <w:uiPriority w:val="11"/>
    <w:rPr>
      <w:sz w:val="24"/>
      <w:szCs w:val="24"/>
    </w:rPr>
  </w:style>
  <w:style w:type="paragraph" w:styleId="700">
    <w:name w:val="Quote"/>
    <w:basedOn w:val="852"/>
    <w:next w:val="852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2"/>
    <w:next w:val="852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5"/>
    <w:link w:val="862"/>
    <w:uiPriority w:val="99"/>
  </w:style>
  <w:style w:type="character" w:styleId="705">
    <w:name w:val="Footer Char"/>
    <w:basedOn w:val="855"/>
    <w:link w:val="86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4"/>
    <w:uiPriority w:val="99"/>
  </w:style>
  <w:style w:type="table" w:styleId="708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8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2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5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9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2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6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5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5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3">
    <w:name w:val="Heading 1"/>
    <w:basedOn w:val="852"/>
    <w:next w:val="852"/>
    <w:link w:val="866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54">
    <w:name w:val="Heading 4"/>
    <w:basedOn w:val="852"/>
    <w:next w:val="852"/>
    <w:link w:val="858"/>
    <w:qFormat/>
    <w:pPr>
      <w:keepNext/>
      <w:outlineLvl w:val="3"/>
    </w:pPr>
    <w:rPr>
      <w:sz w:val="28"/>
      <w:szCs w:val="20"/>
      <w:lang w:eastAsia="ar-SA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character" w:styleId="858" w:customStyle="1">
    <w:name w:val="Заголовок 4 Знак"/>
    <w:basedOn w:val="855"/>
    <w:link w:val="854"/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859">
    <w:name w:val="Normal (Web)"/>
    <w:basedOn w:val="852"/>
    <w:uiPriority w:val="99"/>
    <w:unhideWhenUsed/>
    <w:pPr>
      <w:spacing w:before="100" w:beforeAutospacing="1" w:after="100" w:afterAutospacing="1"/>
    </w:pPr>
  </w:style>
  <w:style w:type="paragraph" w:styleId="860">
    <w:name w:val="Balloon Text"/>
    <w:basedOn w:val="852"/>
    <w:link w:val="86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1" w:customStyle="1">
    <w:name w:val="Текст выноски Знак"/>
    <w:basedOn w:val="855"/>
    <w:link w:val="86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62">
    <w:name w:val="Header"/>
    <w:basedOn w:val="85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 w:customStyle="1">
    <w:name w:val="Верхний колонтитул Знак"/>
    <w:basedOn w:val="855"/>
    <w:link w:val="86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4">
    <w:name w:val="Footer"/>
    <w:basedOn w:val="852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855"/>
    <w:link w:val="86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6" w:customStyle="1">
    <w:name w:val="Заголовок 1 Знак"/>
    <w:basedOn w:val="855"/>
    <w:link w:val="85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ru-RU"/>
    </w:rPr>
  </w:style>
  <w:style w:type="character" w:styleId="867" w:customStyle="1">
    <w:name w:val="Цветовое выделение"/>
    <w:uiPriority w:val="99"/>
    <w:rPr>
      <w:b/>
      <w:bCs/>
      <w:color w:val="26282f"/>
    </w:rPr>
  </w:style>
  <w:style w:type="paragraph" w:styleId="868" w:customStyle="1">
    <w:name w:val="Нормальный (таблица)"/>
    <w:basedOn w:val="852"/>
    <w:next w:val="852"/>
    <w:uiPriority w:val="99"/>
    <w:pPr>
      <w:jc w:val="both"/>
      <w:widowControl w:val="off"/>
    </w:pPr>
    <w:rPr>
      <w:rFonts w:ascii="Arial" w:hAnsi="Arial" w:cs="Arial"/>
    </w:rPr>
  </w:style>
  <w:style w:type="paragraph" w:styleId="869" w:customStyle="1">
    <w:name w:val="Прижатый влево"/>
    <w:basedOn w:val="852"/>
    <w:next w:val="852"/>
    <w:uiPriority w:val="99"/>
    <w:pPr>
      <w:widowControl w:val="off"/>
    </w:pPr>
    <w:rPr>
      <w:rFonts w:ascii="Arial" w:hAnsi="Arial" w:cs="Arial"/>
    </w:rPr>
  </w:style>
  <w:style w:type="paragraph" w:styleId="870" w:customStyle="1">
    <w:name w:val="docdata"/>
    <w:basedOn w:val="852"/>
    <w:pPr>
      <w:spacing w:before="100" w:beforeAutospacing="1" w:after="100" w:afterAutospacing="1"/>
    </w:pPr>
  </w:style>
  <w:style w:type="paragraph" w:styleId="871" w:customStyle="1">
    <w:name w:val="Standard"/>
    <w:pPr>
      <w:spacing w:after="0" w:line="240" w:lineRule="auto"/>
      <w:widowControl w:val="off"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paragraph" w:styleId="872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A5E0B-672A-4996-9FA0-CB4C0FF6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Вильчинская А.К.</dc:creator>
  <cp:keywords/>
  <dc:description/>
  <cp:revision>58</cp:revision>
  <dcterms:created xsi:type="dcterms:W3CDTF">2024-04-12T05:21:00Z</dcterms:created>
  <dcterms:modified xsi:type="dcterms:W3CDTF">2025-12-23T12:39:04Z</dcterms:modified>
</cp:coreProperties>
</file>